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CD56B" w14:textId="66CDCA5B" w:rsidR="00AC6074" w:rsidRDefault="006D42DB" w:rsidP="006D42DB">
      <w:pPr>
        <w:rPr>
          <w:rFonts w:ascii="Ink Free" w:hAnsi="Ink Free" w:cs="Cavolini"/>
          <w:b/>
          <w:bCs/>
          <w:color w:val="FF000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AFEE59" w14:textId="02F99795" w:rsidR="0066269E" w:rsidRPr="001C32D4" w:rsidRDefault="006D0474" w:rsidP="00024025">
      <w:pPr>
        <w:jc w:val="both"/>
        <w:rPr>
          <w:rFonts w:ascii="Ink Free" w:hAnsi="Ink Free" w:cs="Cavolini"/>
          <w:b/>
          <w:bCs/>
          <w:color w:val="FF0000"/>
          <w:sz w:val="36"/>
          <w:szCs w:val="36"/>
        </w:rPr>
      </w:pPr>
      <w:r w:rsidRPr="001C32D4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1C32D4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CE1F0B" w:rsidRPr="001C32D4">
        <w:rPr>
          <w:rFonts w:ascii="Ink Free" w:hAnsi="Ink Free" w:cs="Cavolini"/>
          <w:b/>
          <w:bCs/>
          <w:color w:val="FF0000"/>
          <w:sz w:val="36"/>
          <w:szCs w:val="36"/>
        </w:rPr>
        <w:t>5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8"/>
        <w:gridCol w:w="9288"/>
      </w:tblGrid>
      <w:tr w:rsidR="000178CB" w14:paraId="1DAB3D7A" w14:textId="77777777" w:rsidTr="00CE1F0B">
        <w:tc>
          <w:tcPr>
            <w:tcW w:w="1168" w:type="dxa"/>
          </w:tcPr>
          <w:p w14:paraId="3EA589D0" w14:textId="21F9B9B2" w:rsidR="000178CB" w:rsidRDefault="00CE1F0B">
            <w:r>
              <w:t>Compléter le document ci-contre</w:t>
            </w:r>
          </w:p>
        </w:tc>
        <w:tc>
          <w:tcPr>
            <w:tcW w:w="9288" w:type="dxa"/>
          </w:tcPr>
          <w:p w14:paraId="7A225844" w14:textId="08CFAFA8" w:rsidR="00CE1F0B" w:rsidRDefault="00CE1F0B" w:rsidP="00CE1F0B">
            <w:pPr>
              <w:pStyle w:val="Sansinterligne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863C3CA" wp14:editId="22927C5A">
                  <wp:extent cx="5760720" cy="3122295"/>
                  <wp:effectExtent l="0" t="0" r="0" b="1905"/>
                  <wp:docPr id="70115807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15807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312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DBB36D0" wp14:editId="63E67D06">
                  <wp:extent cx="5760720" cy="2914015"/>
                  <wp:effectExtent l="0" t="0" r="0" b="635"/>
                  <wp:docPr id="14135572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355726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2914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E45BA7A" wp14:editId="740F9CC7">
                  <wp:extent cx="5760720" cy="1684655"/>
                  <wp:effectExtent l="0" t="0" r="0" b="0"/>
                  <wp:docPr id="153989037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9890371" name=""/>
                          <pic:cNvPicPr/>
                        </pic:nvPicPr>
                        <pic:blipFill rotWithShape="1">
                          <a:blip r:embed="rId7"/>
                          <a:srcRect t="53069"/>
                          <a:stretch/>
                        </pic:blipFill>
                        <pic:spPr bwMode="auto">
                          <a:xfrm>
                            <a:off x="0" y="0"/>
                            <a:ext cx="5760720" cy="1684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A4BB1D" w14:textId="73C8B228" w:rsidR="000178CB" w:rsidRDefault="000178CB"/>
        </w:tc>
      </w:tr>
      <w:tr w:rsidR="000178CB" w14:paraId="54B39660" w14:textId="77777777" w:rsidTr="00CE1F0B">
        <w:tc>
          <w:tcPr>
            <w:tcW w:w="1168" w:type="dxa"/>
          </w:tcPr>
          <w:p w14:paraId="67827C26" w14:textId="773C4CC0" w:rsidR="000178CB" w:rsidRDefault="00CE1F0B">
            <w:r>
              <w:t>Définir un référentiel galiléen</w:t>
            </w:r>
          </w:p>
        </w:tc>
        <w:tc>
          <w:tcPr>
            <w:tcW w:w="9288" w:type="dxa"/>
          </w:tcPr>
          <w:p w14:paraId="25D262F7" w14:textId="77777777" w:rsidR="000178CB" w:rsidRDefault="000178CB"/>
          <w:p w14:paraId="01557EBB" w14:textId="65919982" w:rsidR="000178CB" w:rsidRPr="001C32D4" w:rsidRDefault="001C32D4">
            <w:pPr>
              <w:rPr>
                <w:color w:val="FF0000"/>
                <w:sz w:val="32"/>
                <w:szCs w:val="32"/>
              </w:rPr>
            </w:pPr>
            <w:r w:rsidRPr="001C32D4">
              <w:rPr>
                <w:color w:val="FF0000"/>
                <w:sz w:val="32"/>
                <w:szCs w:val="32"/>
              </w:rPr>
              <w:t>C’est un référentiel dans lequel le principe d’inertie y est vérifié</w:t>
            </w:r>
          </w:p>
          <w:p w14:paraId="2B105C0D" w14:textId="77777777" w:rsidR="000178CB" w:rsidRDefault="000178CB"/>
          <w:p w14:paraId="54BF97BC" w14:textId="77777777" w:rsidR="000178CB" w:rsidRDefault="000178CB"/>
          <w:p w14:paraId="387D6E17" w14:textId="77777777" w:rsidR="001B056C" w:rsidRDefault="001B056C"/>
          <w:p w14:paraId="1E6EE9B7" w14:textId="77777777" w:rsidR="001B056C" w:rsidRDefault="001B056C"/>
          <w:p w14:paraId="13E1B398" w14:textId="5DA9723A" w:rsidR="00735524" w:rsidRDefault="00735524"/>
        </w:tc>
      </w:tr>
      <w:tr w:rsidR="000178CB" w14:paraId="46BEF2E7" w14:textId="77777777" w:rsidTr="00CE1F0B">
        <w:tc>
          <w:tcPr>
            <w:tcW w:w="1168" w:type="dxa"/>
          </w:tcPr>
          <w:p w14:paraId="7CB95B38" w14:textId="563F0D1C" w:rsidR="000178CB" w:rsidRDefault="00CE1F0B">
            <w:r>
              <w:lastRenderedPageBreak/>
              <w:t>Donner la première loi de Newton</w:t>
            </w:r>
          </w:p>
        </w:tc>
        <w:tc>
          <w:tcPr>
            <w:tcW w:w="9288" w:type="dxa"/>
          </w:tcPr>
          <w:p w14:paraId="1087DEE8" w14:textId="77777777" w:rsidR="000178CB" w:rsidRPr="001C32D4" w:rsidRDefault="000178CB">
            <w:pPr>
              <w:rPr>
                <w:color w:val="FF0000"/>
                <w:sz w:val="32"/>
                <w:szCs w:val="32"/>
              </w:rPr>
            </w:pPr>
          </w:p>
          <w:p w14:paraId="2BE823D8" w14:textId="05AB3FF4" w:rsidR="001C32D4" w:rsidRPr="001C32D4" w:rsidRDefault="001C32D4">
            <w:pPr>
              <w:rPr>
                <w:color w:val="FF0000"/>
                <w:sz w:val="32"/>
                <w:szCs w:val="32"/>
              </w:rPr>
            </w:pPr>
            <w:r w:rsidRPr="001C32D4">
              <w:rPr>
                <w:color w:val="FF0000"/>
                <w:sz w:val="32"/>
                <w:szCs w:val="32"/>
              </w:rPr>
              <w:t>Dans un référentiel galiléen, si un corps est soit immobile soit en mouvement rectiligne uniforme, alors la somme vectorielle des forces qui s’exercent sur lui est nulle et réciproquement.</w:t>
            </w:r>
          </w:p>
          <w:p w14:paraId="58792C69" w14:textId="39160A7B" w:rsidR="001C32D4" w:rsidRPr="001C32D4" w:rsidRDefault="001C32D4">
            <w:pPr>
              <w:rPr>
                <w:color w:val="FF0000"/>
                <w:sz w:val="32"/>
                <w:szCs w:val="32"/>
              </w:rPr>
            </w:pPr>
            <w:r w:rsidRPr="001C32D4">
              <w:rPr>
                <w:color w:val="FF0000"/>
                <w:position w:val="-14"/>
                <w:sz w:val="32"/>
                <w:szCs w:val="32"/>
              </w:rPr>
              <w:object w:dxaOrig="1040" w:dyaOrig="420" w14:anchorId="491DA1C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7" type="#_x0000_t75" style="width:91.7pt;height:37.7pt" o:ole="">
                  <v:imagedata r:id="rId8" o:title=""/>
                </v:shape>
                <o:OLEObject Type="Embed" ProgID="Equation.DSMT4" ShapeID="_x0000_i1047" DrawAspect="Content" ObjectID="_1761458239" r:id="rId9"/>
              </w:object>
            </w:r>
          </w:p>
          <w:p w14:paraId="7537AF88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1D121EFA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03CA86D6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1A202AA7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2DDEB87D" w14:textId="23B43EE0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54DCEDEB" w14:textId="3AA02258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2C5258DF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5D13DC90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7598D414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22AA429B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6DED6169" w14:textId="030CF1F0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</w:tc>
      </w:tr>
      <w:tr w:rsidR="000178CB" w14:paraId="02798242" w14:textId="77777777" w:rsidTr="00CE1F0B">
        <w:tc>
          <w:tcPr>
            <w:tcW w:w="1168" w:type="dxa"/>
          </w:tcPr>
          <w:p w14:paraId="724082AB" w14:textId="696A6AA9" w:rsidR="000178CB" w:rsidRDefault="00CE1F0B">
            <w:r>
              <w:t>Donner la deuxième loi de Newton</w:t>
            </w:r>
          </w:p>
        </w:tc>
        <w:tc>
          <w:tcPr>
            <w:tcW w:w="9288" w:type="dxa"/>
          </w:tcPr>
          <w:p w14:paraId="76913E63" w14:textId="77777777" w:rsidR="000178CB" w:rsidRPr="001C32D4" w:rsidRDefault="000178CB">
            <w:pPr>
              <w:rPr>
                <w:color w:val="FF0000"/>
                <w:sz w:val="32"/>
                <w:szCs w:val="32"/>
              </w:rPr>
            </w:pPr>
          </w:p>
          <w:p w14:paraId="2A22B69D" w14:textId="2928797B" w:rsidR="00CE1F0B" w:rsidRPr="001C32D4" w:rsidRDefault="001C32D4">
            <w:pPr>
              <w:rPr>
                <w:color w:val="FF0000"/>
                <w:sz w:val="32"/>
                <w:szCs w:val="32"/>
              </w:rPr>
            </w:pPr>
            <w:r w:rsidRPr="001C32D4">
              <w:rPr>
                <w:color w:val="FF0000"/>
                <w:sz w:val="32"/>
                <w:szCs w:val="32"/>
              </w:rPr>
              <w:t xml:space="preserve">Dans un référentiel galiléen on a : </w:t>
            </w:r>
            <w:r w:rsidRPr="001C32D4">
              <w:rPr>
                <w:color w:val="FF0000"/>
                <w:position w:val="-14"/>
                <w:sz w:val="32"/>
                <w:szCs w:val="32"/>
              </w:rPr>
              <w:object w:dxaOrig="1359" w:dyaOrig="420" w14:anchorId="2F92E916">
                <v:shape id="_x0000_i1048" type="#_x0000_t75" style="width:138pt;height:43.7pt" o:ole="">
                  <v:imagedata r:id="rId10" o:title=""/>
                </v:shape>
                <o:OLEObject Type="Embed" ProgID="Equation.DSMT4" ShapeID="_x0000_i1048" DrawAspect="Content" ObjectID="_1761458240" r:id="rId11"/>
              </w:object>
            </w:r>
          </w:p>
          <w:p w14:paraId="58957EF9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6074116B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5E21CE43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6BF9590C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646378C9" w14:textId="6E2820C0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147D595E" w14:textId="27DA291E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77681FB0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258A2B3E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4657B667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6FFBA34A" w14:textId="77777777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  <w:p w14:paraId="2FE1BF6D" w14:textId="2DFD7844" w:rsidR="00CE1F0B" w:rsidRPr="001C32D4" w:rsidRDefault="00CE1F0B">
            <w:pPr>
              <w:rPr>
                <w:color w:val="FF0000"/>
                <w:sz w:val="32"/>
                <w:szCs w:val="32"/>
              </w:rPr>
            </w:pPr>
          </w:p>
        </w:tc>
      </w:tr>
    </w:tbl>
    <w:p w14:paraId="5AF2C0FE" w14:textId="77777777" w:rsidR="006D0474" w:rsidRDefault="006D0474"/>
    <w:sectPr w:rsidR="006D0474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F517A"/>
    <w:rsid w:val="001B056C"/>
    <w:rsid w:val="001C32D4"/>
    <w:rsid w:val="002C185B"/>
    <w:rsid w:val="0061434A"/>
    <w:rsid w:val="0066269E"/>
    <w:rsid w:val="00673E20"/>
    <w:rsid w:val="006D0474"/>
    <w:rsid w:val="006D42DB"/>
    <w:rsid w:val="006F0632"/>
    <w:rsid w:val="00735524"/>
    <w:rsid w:val="007815EB"/>
    <w:rsid w:val="0082799C"/>
    <w:rsid w:val="00A3120F"/>
    <w:rsid w:val="00A469A7"/>
    <w:rsid w:val="00AC6074"/>
    <w:rsid w:val="00AD0CBF"/>
    <w:rsid w:val="00B14606"/>
    <w:rsid w:val="00BC4376"/>
    <w:rsid w:val="00C336C6"/>
    <w:rsid w:val="00CE1F0B"/>
    <w:rsid w:val="00CF71CD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2.bin"/><Relationship Id="rId5" Type="http://schemas.openxmlformats.org/officeDocument/2006/relationships/image" Target="media/image2.png"/><Relationship Id="rId10" Type="http://schemas.openxmlformats.org/officeDocument/2006/relationships/image" Target="media/image6.wmf"/><Relationship Id="rId4" Type="http://schemas.openxmlformats.org/officeDocument/2006/relationships/image" Target="media/image1.jpe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marc s</cp:lastModifiedBy>
  <cp:revision>2</cp:revision>
  <cp:lastPrinted>2023-09-25T07:17:00Z</cp:lastPrinted>
  <dcterms:created xsi:type="dcterms:W3CDTF">2023-11-14T08:11:00Z</dcterms:created>
  <dcterms:modified xsi:type="dcterms:W3CDTF">2023-11-14T08:11:00Z</dcterms:modified>
</cp:coreProperties>
</file>