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9C3721" w14:textId="0BD8FE09" w:rsidR="007F6D13" w:rsidRPr="009D5368" w:rsidRDefault="009D5368" w:rsidP="0025623A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284"/>
        <w:jc w:val="center"/>
        <w:rPr>
          <w:b/>
          <w:bCs/>
          <w:sz w:val="36"/>
          <w:szCs w:val="36"/>
        </w:rPr>
      </w:pPr>
      <w:r w:rsidRPr="009D5368">
        <w:rPr>
          <w:b/>
          <w:bCs/>
          <w:sz w:val="36"/>
          <w:szCs w:val="36"/>
        </w:rPr>
        <w:t>TP : atténuation géométrique et par absorption du son</w:t>
      </w:r>
    </w:p>
    <w:p w14:paraId="7AD3BC7E" w14:textId="1E96470F" w:rsidR="009D5368" w:rsidRPr="009D5368" w:rsidRDefault="009D5368" w:rsidP="0025623A">
      <w:pPr>
        <w:spacing w:after="0" w:line="240" w:lineRule="auto"/>
        <w:ind w:left="284"/>
        <w:jc w:val="both"/>
        <w:rPr>
          <w:rFonts w:ascii="CourierPS" w:eastAsia="Times New Roman" w:hAnsi="CourierPS" w:cs="Times New Roman"/>
          <w:sz w:val="24"/>
          <w:szCs w:val="24"/>
          <w:lang w:eastAsia="fr-F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6C6F5B8" wp14:editId="3A63BB72">
            <wp:simplePos x="0" y="0"/>
            <wp:positionH relativeFrom="column">
              <wp:posOffset>6036945</wp:posOffset>
            </wp:positionH>
            <wp:positionV relativeFrom="paragraph">
              <wp:posOffset>7620</wp:posOffset>
            </wp:positionV>
            <wp:extent cx="865505" cy="865505"/>
            <wp:effectExtent l="0" t="0" r="0" b="0"/>
            <wp:wrapTight wrapText="bothSides">
              <wp:wrapPolygon edited="0">
                <wp:start x="0" y="0"/>
                <wp:lineTo x="0" y="20919"/>
                <wp:lineTo x="20919" y="20919"/>
                <wp:lineTo x="20919" y="0"/>
                <wp:lineTo x="0" y="0"/>
              </wp:wrapPolygon>
            </wp:wrapTight>
            <wp:docPr id="2" name="Image 2" descr="Baffle Liston haut-parleurs enceinte musique son audio noir puissance DJ-Pro  8 | ETC Sho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affle Liston haut-parleurs enceinte musique son audio noir puissance DJ-Pro  8 | ETC Sho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505" cy="86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D5368">
        <w:rPr>
          <w:rFonts w:ascii="CourierPS" w:eastAsia="Times New Roman" w:hAnsi="CourierPS" w:cs="Times New Roman"/>
          <w:sz w:val="24"/>
          <w:szCs w:val="24"/>
          <w:lang w:eastAsia="fr-FR"/>
        </w:rPr>
        <w:t>Le niveau sonore émis par les enceintes d'une salle de spectacle dépasse souvent le seuil de douleur estimé à 120 dB. Une écoute à proximité de l'enceinte peut engendrer des dommages irréversibles à l'oreille…</w:t>
      </w:r>
    </w:p>
    <w:p w14:paraId="27F33399" w14:textId="77777777" w:rsidR="009D5368" w:rsidRPr="009D5368" w:rsidRDefault="009D5368" w:rsidP="0025623A">
      <w:pPr>
        <w:spacing w:after="0" w:line="240" w:lineRule="auto"/>
        <w:ind w:left="284"/>
        <w:jc w:val="center"/>
        <w:rPr>
          <w:rFonts w:ascii="CourierPS" w:eastAsia="Times New Roman" w:hAnsi="CourierPS" w:cs="Times New Roman"/>
          <w:b/>
          <w:bCs/>
          <w:sz w:val="24"/>
          <w:szCs w:val="24"/>
          <w:lang w:eastAsia="fr-FR"/>
        </w:rPr>
      </w:pPr>
      <w:r w:rsidRPr="009D5368">
        <w:rPr>
          <w:rFonts w:ascii="CourierPS" w:eastAsia="Times New Roman" w:hAnsi="CourierPS" w:cs="Times New Roman"/>
          <w:b/>
          <w:bCs/>
          <w:sz w:val="24"/>
          <w:szCs w:val="24"/>
          <w:highlight w:val="yellow"/>
          <w:lang w:eastAsia="fr-FR"/>
        </w:rPr>
        <w:t>Que peut-on faire pour percevoir un son moins intense ?</w:t>
      </w:r>
    </w:p>
    <w:tbl>
      <w:tblPr>
        <w:tblpPr w:leftFromText="141" w:rightFromText="141" w:vertAnchor="text" w:horzAnchor="page" w:tblpX="9753" w:tblpY="5430"/>
        <w:tblW w:w="14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3"/>
        <w:gridCol w:w="886"/>
      </w:tblGrid>
      <w:tr w:rsidR="00B677E6" w:rsidRPr="009D5368" w14:paraId="5A328DEE" w14:textId="77777777" w:rsidTr="00B677E6">
        <w:trPr>
          <w:trHeight w:val="307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EC195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R</w:t>
            </w: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(m)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54199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L(dB)</w:t>
            </w:r>
          </w:p>
        </w:tc>
      </w:tr>
      <w:tr w:rsidR="00B677E6" w:rsidRPr="009D5368" w14:paraId="5E0D8BEE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BCD55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128F9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B677E6" w:rsidRPr="009D5368" w14:paraId="4BC0AF45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E217F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0,06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7DE87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94</w:t>
            </w:r>
          </w:p>
        </w:tc>
      </w:tr>
      <w:tr w:rsidR="00B677E6" w:rsidRPr="009D5368" w14:paraId="0402E297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0B5D2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0,07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C0545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93,1</w:t>
            </w:r>
          </w:p>
        </w:tc>
      </w:tr>
      <w:tr w:rsidR="00B677E6" w:rsidRPr="009D5368" w14:paraId="53569073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B6902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0,08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86DBC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91,6</w:t>
            </w:r>
          </w:p>
        </w:tc>
      </w:tr>
      <w:tr w:rsidR="00B677E6" w:rsidRPr="009D5368" w14:paraId="6A9D478A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06CBC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0,09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843C9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89,9</w:t>
            </w:r>
          </w:p>
        </w:tc>
      </w:tr>
      <w:tr w:rsidR="00B677E6" w:rsidRPr="009D5368" w14:paraId="05E0E465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E6AF3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0,1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9C2BF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88,1</w:t>
            </w:r>
          </w:p>
        </w:tc>
      </w:tr>
      <w:tr w:rsidR="00B677E6" w:rsidRPr="009D5368" w14:paraId="555F4396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6A35A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0,11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5710F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87,5</w:t>
            </w:r>
          </w:p>
        </w:tc>
      </w:tr>
      <w:tr w:rsidR="00B677E6" w:rsidRPr="009D5368" w14:paraId="677F4A53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0A3FD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0,12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FFA3A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87</w:t>
            </w:r>
          </w:p>
        </w:tc>
      </w:tr>
      <w:tr w:rsidR="00B677E6" w:rsidRPr="009D5368" w14:paraId="2A5D61DE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34864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0,13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CEFEF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86</w:t>
            </w:r>
          </w:p>
        </w:tc>
      </w:tr>
      <w:tr w:rsidR="00B677E6" w:rsidRPr="009D5368" w14:paraId="77B344B1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04468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0,14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D43EA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85,6</w:t>
            </w:r>
          </w:p>
        </w:tc>
      </w:tr>
      <w:tr w:rsidR="00B677E6" w:rsidRPr="009D5368" w14:paraId="274DF48C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F2E97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0,15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B2D19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85,1</w:t>
            </w:r>
          </w:p>
        </w:tc>
      </w:tr>
      <w:tr w:rsidR="00B677E6" w:rsidRPr="009D5368" w14:paraId="68A64C4E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B57E0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0,16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73557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84,7</w:t>
            </w:r>
          </w:p>
        </w:tc>
      </w:tr>
      <w:tr w:rsidR="00B677E6" w:rsidRPr="009D5368" w14:paraId="58B81797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A365C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0,17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44216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84,2</w:t>
            </w:r>
          </w:p>
        </w:tc>
      </w:tr>
      <w:tr w:rsidR="00B677E6" w:rsidRPr="009D5368" w14:paraId="3868CC75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DCE47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0,18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F4C23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83,3</w:t>
            </w:r>
          </w:p>
        </w:tc>
      </w:tr>
      <w:tr w:rsidR="00B677E6" w:rsidRPr="009D5368" w14:paraId="2EF676D7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87428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0,19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CD93A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82,8</w:t>
            </w:r>
          </w:p>
        </w:tc>
      </w:tr>
      <w:tr w:rsidR="00B677E6" w:rsidRPr="009D5368" w14:paraId="262E0133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9D7BE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0,2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6725D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82,1</w:t>
            </w:r>
          </w:p>
        </w:tc>
      </w:tr>
      <w:tr w:rsidR="00B677E6" w:rsidRPr="009D5368" w14:paraId="0EAA6544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0C9D5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0,21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BD516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81,8</w:t>
            </w:r>
          </w:p>
        </w:tc>
      </w:tr>
      <w:tr w:rsidR="00B677E6" w:rsidRPr="009D5368" w14:paraId="30DAEAEC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BA4FD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0,22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55C19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80,7</w:t>
            </w:r>
          </w:p>
        </w:tc>
      </w:tr>
      <w:tr w:rsidR="00B677E6" w:rsidRPr="009D5368" w14:paraId="0C5FFDDA" w14:textId="77777777" w:rsidTr="00B677E6">
        <w:trPr>
          <w:trHeight w:val="307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33048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0,23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01E1D" w14:textId="77777777" w:rsidR="00B677E6" w:rsidRPr="009D5368" w:rsidRDefault="00B677E6" w:rsidP="0025623A">
            <w:pPr>
              <w:spacing w:after="0" w:line="240" w:lineRule="auto"/>
              <w:ind w:left="284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9D5368">
              <w:rPr>
                <w:rFonts w:ascii="Calibri" w:eastAsia="Times New Roman" w:hAnsi="Calibri" w:cs="Calibri"/>
                <w:color w:val="000000"/>
                <w:lang w:eastAsia="fr-FR"/>
              </w:rPr>
              <w:t>79,8</w:t>
            </w:r>
          </w:p>
        </w:tc>
      </w:tr>
    </w:tbl>
    <w:p w14:paraId="559508CB" w14:textId="6A41405D" w:rsidR="009D5368" w:rsidRDefault="009D5368" w:rsidP="0025623A">
      <w:pPr>
        <w:ind w:left="284"/>
        <w:jc w:val="center"/>
        <w:rPr>
          <w:noProof/>
          <w:sz w:val="36"/>
          <w:szCs w:val="36"/>
        </w:rPr>
      </w:pPr>
      <w:r>
        <w:rPr>
          <w:noProof/>
        </w:rPr>
        <w:drawing>
          <wp:inline distT="0" distB="0" distL="0" distR="0" wp14:anchorId="644F22E0" wp14:editId="61FD88EF">
            <wp:extent cx="5895733" cy="3435928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04757" cy="3441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413EB" w14:textId="6AF69961" w:rsidR="009D5368" w:rsidRPr="009D5368" w:rsidRDefault="009D5368" w:rsidP="0025623A">
      <w:pPr>
        <w:pStyle w:val="Titre1"/>
        <w:ind w:left="284"/>
        <w:jc w:val="both"/>
        <w:rPr>
          <w:rFonts w:ascii="CourierPS" w:hAnsi="CourierPS"/>
          <w:sz w:val="28"/>
          <w:szCs w:val="28"/>
          <w:u w:val="thick"/>
        </w:rPr>
      </w:pPr>
      <w:r w:rsidRPr="009D5368">
        <w:rPr>
          <w:rFonts w:ascii="CourierPS" w:hAnsi="CourierPS"/>
          <w:sz w:val="28"/>
          <w:szCs w:val="28"/>
          <w:highlight w:val="yellow"/>
          <w:u w:val="thick"/>
        </w:rPr>
        <w:t>Expérience 1</w:t>
      </w:r>
    </w:p>
    <w:p w14:paraId="2DB600D6" w14:textId="77777777" w:rsidR="009D5368" w:rsidRPr="009D5368" w:rsidRDefault="009D5368" w:rsidP="0025623A">
      <w:pPr>
        <w:spacing w:after="0" w:line="240" w:lineRule="auto"/>
        <w:ind w:left="284"/>
        <w:jc w:val="both"/>
        <w:rPr>
          <w:rFonts w:ascii="CourierPS" w:eastAsia="Times New Roman" w:hAnsi="CourierPS" w:cs="Times New Roman"/>
          <w:sz w:val="24"/>
          <w:szCs w:val="24"/>
          <w:lang w:eastAsia="fr-FR"/>
        </w:rPr>
      </w:pPr>
      <w:r w:rsidRPr="009D5368">
        <w:rPr>
          <w:rFonts w:ascii="CourierPS" w:eastAsia="Times New Roman" w:hAnsi="CourierPS" w:cs="Times New Roman"/>
          <w:sz w:val="24"/>
          <w:szCs w:val="24"/>
          <w:lang w:eastAsia="fr-FR"/>
        </w:rPr>
        <w:t>Mettre en œuvre le dispositif expérimental du doc. 1, en intercalant successivement entre le buzzer et le sonomètre les différents échantillons de matériaux de même épaisseur disponibles.</w:t>
      </w:r>
    </w:p>
    <w:p w14:paraId="3A4AE7B0" w14:textId="77777777" w:rsidR="009D5368" w:rsidRPr="009D5368" w:rsidRDefault="009D5368" w:rsidP="0025623A">
      <w:pPr>
        <w:spacing w:after="0" w:line="240" w:lineRule="auto"/>
        <w:ind w:left="284"/>
        <w:jc w:val="both"/>
        <w:rPr>
          <w:rFonts w:ascii="CourierPS" w:eastAsia="Times New Roman" w:hAnsi="CourierPS" w:cs="Times New Roman"/>
          <w:sz w:val="24"/>
          <w:szCs w:val="24"/>
          <w:lang w:eastAsia="fr-FR"/>
        </w:rPr>
      </w:pPr>
      <w:r w:rsidRPr="009D5368">
        <w:rPr>
          <w:rFonts w:ascii="CourierPS" w:eastAsia="Times New Roman" w:hAnsi="CourierPS" w:cs="Times New Roman"/>
          <w:sz w:val="24"/>
          <w:szCs w:val="24"/>
          <w:lang w:eastAsia="fr-FR"/>
        </w:rPr>
        <w:t>Noter, pour chaque matériau, l'atténuation (diminution du niveau sonore en dB) constatée.</w:t>
      </w:r>
    </w:p>
    <w:p w14:paraId="6C5A2DFB" w14:textId="66A70B86" w:rsidR="009D5368" w:rsidRPr="009D5368" w:rsidRDefault="009D5368" w:rsidP="0025623A">
      <w:pPr>
        <w:spacing w:after="0" w:line="240" w:lineRule="auto"/>
        <w:ind w:left="284"/>
        <w:jc w:val="both"/>
        <w:rPr>
          <w:rFonts w:ascii="CourierPS" w:eastAsia="Times New Roman" w:hAnsi="CourierPS" w:cs="Times New Roman"/>
          <w:sz w:val="24"/>
          <w:szCs w:val="24"/>
          <w:lang w:eastAsia="fr-FR"/>
        </w:rPr>
      </w:pPr>
    </w:p>
    <w:p w14:paraId="5812B199" w14:textId="77777777" w:rsidR="009D5368" w:rsidRPr="009D5368" w:rsidRDefault="009D5368" w:rsidP="0025623A">
      <w:pPr>
        <w:spacing w:before="100" w:beforeAutospacing="1" w:after="100" w:afterAutospacing="1" w:line="240" w:lineRule="auto"/>
        <w:ind w:left="284"/>
        <w:jc w:val="both"/>
        <w:outlineLvl w:val="0"/>
        <w:rPr>
          <w:rFonts w:ascii="CourierPS" w:eastAsia="Times New Roman" w:hAnsi="CourierPS" w:cs="Times New Roman"/>
          <w:b/>
          <w:bCs/>
          <w:kern w:val="36"/>
          <w:sz w:val="28"/>
          <w:szCs w:val="28"/>
          <w:u w:val="thick"/>
          <w:lang w:eastAsia="fr-FR"/>
        </w:rPr>
      </w:pPr>
      <w:r w:rsidRPr="009D5368">
        <w:rPr>
          <w:rFonts w:ascii="CourierPS" w:eastAsia="Times New Roman" w:hAnsi="CourierPS" w:cs="Times New Roman"/>
          <w:b/>
          <w:bCs/>
          <w:kern w:val="36"/>
          <w:sz w:val="28"/>
          <w:szCs w:val="28"/>
          <w:highlight w:val="yellow"/>
          <w:u w:val="thick"/>
          <w:lang w:eastAsia="fr-FR"/>
        </w:rPr>
        <w:t>Expérience 2</w:t>
      </w:r>
    </w:p>
    <w:p w14:paraId="3CCF7F42" w14:textId="480764AE" w:rsidR="004160BA" w:rsidRDefault="009D5368" w:rsidP="0025623A">
      <w:pPr>
        <w:spacing w:after="0" w:line="240" w:lineRule="auto"/>
        <w:ind w:left="284"/>
        <w:jc w:val="both"/>
        <w:rPr>
          <w:rFonts w:ascii="CourierPS" w:eastAsia="Times New Roman" w:hAnsi="CourierPS" w:cs="Times New Roman"/>
          <w:sz w:val="24"/>
          <w:szCs w:val="24"/>
          <w:lang w:eastAsia="fr-FR"/>
        </w:rPr>
      </w:pPr>
      <w:r w:rsidRPr="009D5368">
        <w:rPr>
          <w:rFonts w:ascii="CourierPS" w:eastAsia="Times New Roman" w:hAnsi="CourierPS" w:cs="Times New Roman"/>
          <w:sz w:val="24"/>
          <w:szCs w:val="24"/>
          <w:lang w:eastAsia="fr-FR"/>
        </w:rPr>
        <w:t xml:space="preserve">Mettre en œuvre le dispositif du doc. 1 sans intercaler de matériau puis mesurer le niveau sonore </w:t>
      </w:r>
      <w:r w:rsidRPr="009D5368">
        <w:rPr>
          <w:rFonts w:ascii="CourierPS" w:eastAsia="Times New Roman" w:hAnsi="CourierPS" w:cs="Times New Roman"/>
          <w:i/>
          <w:iCs/>
          <w:sz w:val="24"/>
          <w:szCs w:val="24"/>
          <w:lang w:eastAsia="fr-FR"/>
        </w:rPr>
        <w:t>L</w:t>
      </w:r>
      <w:r w:rsidRPr="009D5368">
        <w:rPr>
          <w:rFonts w:ascii="CourierPS" w:eastAsia="Times New Roman" w:hAnsi="CourierPS" w:cs="Times New Roman"/>
          <w:sz w:val="24"/>
          <w:szCs w:val="24"/>
          <w:lang w:eastAsia="fr-FR"/>
        </w:rPr>
        <w:t xml:space="preserve"> en fonction de la distance </w:t>
      </w:r>
      <w:r w:rsidRPr="009D5368">
        <w:rPr>
          <w:rFonts w:ascii="CourierPS" w:eastAsia="Times New Roman" w:hAnsi="CourierPS" w:cs="Times New Roman"/>
          <w:i/>
          <w:iCs/>
          <w:sz w:val="24"/>
          <w:szCs w:val="24"/>
          <w:lang w:eastAsia="fr-FR"/>
        </w:rPr>
        <w:t>R</w:t>
      </w:r>
      <w:r w:rsidRPr="009D5368">
        <w:rPr>
          <w:rFonts w:ascii="CourierPS" w:eastAsia="Times New Roman" w:hAnsi="CourierPS" w:cs="Times New Roman"/>
          <w:sz w:val="24"/>
          <w:szCs w:val="24"/>
          <w:lang w:eastAsia="fr-FR"/>
        </w:rPr>
        <w:t xml:space="preserve"> entre le buzzer et le </w:t>
      </w:r>
      <w:r w:rsidR="004160BA" w:rsidRPr="009D5368">
        <w:rPr>
          <w:rFonts w:ascii="CourierPS" w:eastAsia="Times New Roman" w:hAnsi="CourierPS" w:cs="Times New Roman"/>
          <w:sz w:val="24"/>
          <w:szCs w:val="24"/>
          <w:lang w:eastAsia="fr-FR"/>
        </w:rPr>
        <w:t>sonomètre.</w:t>
      </w:r>
      <w:r w:rsidR="004160BA">
        <w:rPr>
          <w:rFonts w:ascii="CourierPS" w:eastAsia="Times New Roman" w:hAnsi="CourierPS" w:cs="Times New Roman"/>
          <w:sz w:val="24"/>
          <w:szCs w:val="24"/>
          <w:lang w:eastAsia="fr-FR"/>
        </w:rPr>
        <w:t xml:space="preserve"> On commencera à mettre le buzzer à 6cm du sonomètre pour la première mesure et on le déplacera tous les cm.</w:t>
      </w:r>
      <w:r w:rsidRPr="009D5368">
        <w:rPr>
          <w:rFonts w:ascii="CourierPS" w:eastAsia="Times New Roman" w:hAnsi="CourierPS" w:cs="Times New Roman"/>
          <w:sz w:val="24"/>
          <w:szCs w:val="24"/>
          <w:lang w:eastAsia="fr-FR"/>
        </w:rPr>
        <w:t xml:space="preserve"> Noter les résultats.</w:t>
      </w:r>
      <w:r w:rsidR="004160BA">
        <w:rPr>
          <w:rFonts w:ascii="CourierPS" w:eastAsia="Times New Roman" w:hAnsi="CourierPS" w:cs="Times New Roman"/>
          <w:sz w:val="24"/>
          <w:szCs w:val="24"/>
          <w:lang w:eastAsia="fr-FR"/>
        </w:rPr>
        <w:t xml:space="preserve"> </w:t>
      </w:r>
    </w:p>
    <w:p w14:paraId="4D6A786F" w14:textId="2F6124DA" w:rsidR="009D5368" w:rsidRPr="009D5368" w:rsidRDefault="004160BA" w:rsidP="0025623A">
      <w:pPr>
        <w:spacing w:after="0" w:line="240" w:lineRule="auto"/>
        <w:ind w:left="284"/>
        <w:jc w:val="both"/>
        <w:rPr>
          <w:rFonts w:ascii="CourierPS" w:eastAsia="Times New Roman" w:hAnsi="CourierPS" w:cs="Times New Roman"/>
          <w:i/>
          <w:iCs/>
          <w:sz w:val="24"/>
          <w:szCs w:val="24"/>
          <w:lang w:eastAsia="fr-FR"/>
        </w:rPr>
      </w:pPr>
      <w:r w:rsidRPr="004160BA">
        <w:rPr>
          <w:rFonts w:ascii="CourierPS" w:eastAsia="Times New Roman" w:hAnsi="CourierPS" w:cs="Times New Roman"/>
          <w:i/>
          <w:iCs/>
          <w:sz w:val="24"/>
          <w:szCs w:val="24"/>
          <w:lang w:eastAsia="fr-FR"/>
        </w:rPr>
        <w:t>Un exemple de résultat est donné dans le tableau ci-contre.</w:t>
      </w:r>
    </w:p>
    <w:p w14:paraId="3A5BD979" w14:textId="089B131E" w:rsidR="009D5368" w:rsidRPr="009D5368" w:rsidRDefault="009D5368" w:rsidP="0025623A">
      <w:pPr>
        <w:spacing w:after="0" w:line="240" w:lineRule="auto"/>
        <w:ind w:left="284"/>
        <w:jc w:val="both"/>
        <w:rPr>
          <w:rFonts w:ascii="CourierPS" w:eastAsia="Times New Roman" w:hAnsi="CourierPS" w:cs="Times New Roman"/>
          <w:sz w:val="24"/>
          <w:szCs w:val="24"/>
          <w:lang w:eastAsia="fr-FR"/>
        </w:rPr>
      </w:pPr>
    </w:p>
    <w:p w14:paraId="603425F4" w14:textId="70B2CC73" w:rsidR="009D5368" w:rsidRPr="009D5368" w:rsidRDefault="009D5368" w:rsidP="0025623A">
      <w:pPr>
        <w:spacing w:after="0" w:line="240" w:lineRule="auto"/>
        <w:ind w:left="284"/>
        <w:jc w:val="both"/>
        <w:rPr>
          <w:rFonts w:ascii="CourierPS" w:eastAsia="Times New Roman" w:hAnsi="CourierPS" w:cs="Times New Roman"/>
          <w:sz w:val="24"/>
          <w:szCs w:val="24"/>
          <w:lang w:eastAsia="fr-FR"/>
        </w:rPr>
      </w:pPr>
    </w:p>
    <w:p w14:paraId="118822F5" w14:textId="77777777" w:rsidR="00B677E6" w:rsidRDefault="00B677E6" w:rsidP="0025623A">
      <w:pPr>
        <w:spacing w:after="0" w:line="240" w:lineRule="auto"/>
        <w:ind w:left="284"/>
        <w:jc w:val="both"/>
        <w:rPr>
          <w:rFonts w:ascii="CourierPS" w:eastAsia="Times New Roman" w:hAnsi="CourierPS" w:cs="Times New Roman"/>
          <w:sz w:val="24"/>
          <w:szCs w:val="24"/>
          <w:lang w:eastAsia="fr-FR"/>
        </w:rPr>
      </w:pPr>
    </w:p>
    <w:p w14:paraId="762D0472" w14:textId="77777777" w:rsidR="00B677E6" w:rsidRDefault="00B677E6" w:rsidP="0025623A">
      <w:pPr>
        <w:spacing w:after="0" w:line="240" w:lineRule="auto"/>
        <w:ind w:left="284"/>
        <w:jc w:val="both"/>
        <w:rPr>
          <w:rFonts w:ascii="CourierPS" w:eastAsia="Times New Roman" w:hAnsi="CourierPS" w:cs="Times New Roman"/>
          <w:sz w:val="24"/>
          <w:szCs w:val="24"/>
          <w:lang w:eastAsia="fr-FR"/>
        </w:rPr>
      </w:pPr>
    </w:p>
    <w:p w14:paraId="6C31B2F1" w14:textId="77777777" w:rsidR="00B677E6" w:rsidRDefault="00B677E6" w:rsidP="0025623A">
      <w:pPr>
        <w:spacing w:after="0" w:line="240" w:lineRule="auto"/>
        <w:ind w:left="284"/>
        <w:jc w:val="both"/>
        <w:rPr>
          <w:rFonts w:ascii="CourierPS" w:eastAsia="Times New Roman" w:hAnsi="CourierPS" w:cs="Times New Roman"/>
          <w:sz w:val="24"/>
          <w:szCs w:val="24"/>
          <w:lang w:eastAsia="fr-FR"/>
        </w:rPr>
      </w:pPr>
    </w:p>
    <w:p w14:paraId="33F55485" w14:textId="77777777" w:rsidR="00B677E6" w:rsidRDefault="00B677E6" w:rsidP="0025623A">
      <w:pPr>
        <w:spacing w:after="0" w:line="240" w:lineRule="auto"/>
        <w:ind w:left="284"/>
        <w:jc w:val="both"/>
        <w:rPr>
          <w:rFonts w:ascii="CourierPS" w:eastAsia="Times New Roman" w:hAnsi="CourierPS" w:cs="Times New Roman"/>
          <w:sz w:val="24"/>
          <w:szCs w:val="24"/>
          <w:lang w:eastAsia="fr-FR"/>
        </w:rPr>
      </w:pPr>
    </w:p>
    <w:p w14:paraId="67BC29D1" w14:textId="77777777" w:rsidR="00B677E6" w:rsidRDefault="00B677E6" w:rsidP="0025623A">
      <w:pPr>
        <w:spacing w:after="0" w:line="240" w:lineRule="auto"/>
        <w:ind w:left="284"/>
        <w:jc w:val="both"/>
        <w:rPr>
          <w:rFonts w:ascii="CourierPS" w:eastAsia="Times New Roman" w:hAnsi="CourierPS" w:cs="Times New Roman"/>
          <w:sz w:val="24"/>
          <w:szCs w:val="24"/>
          <w:lang w:eastAsia="fr-FR"/>
        </w:rPr>
      </w:pPr>
    </w:p>
    <w:p w14:paraId="7FFA39F2" w14:textId="77777777" w:rsidR="00B677E6" w:rsidRDefault="00B677E6" w:rsidP="0025623A">
      <w:pPr>
        <w:spacing w:after="0" w:line="240" w:lineRule="auto"/>
        <w:ind w:left="284"/>
        <w:jc w:val="both"/>
        <w:rPr>
          <w:rFonts w:ascii="CourierPS" w:eastAsia="Times New Roman" w:hAnsi="CourierPS" w:cs="Times New Roman"/>
          <w:sz w:val="24"/>
          <w:szCs w:val="24"/>
          <w:lang w:eastAsia="fr-FR"/>
        </w:rPr>
      </w:pPr>
    </w:p>
    <w:p w14:paraId="4BA0E6A5" w14:textId="389D2752" w:rsidR="009D5368" w:rsidRPr="009D5368" w:rsidRDefault="009D5368" w:rsidP="0025623A">
      <w:pPr>
        <w:spacing w:after="0" w:line="240" w:lineRule="auto"/>
        <w:ind w:left="284"/>
        <w:jc w:val="both"/>
        <w:rPr>
          <w:rFonts w:ascii="CourierPS" w:eastAsia="Times New Roman" w:hAnsi="CourierPS" w:cs="Times New Roman"/>
          <w:color w:val="0000FF"/>
          <w:sz w:val="24"/>
          <w:szCs w:val="24"/>
          <w:u w:val="single"/>
          <w:lang w:eastAsia="fr-FR"/>
        </w:rPr>
      </w:pPr>
      <w:r w:rsidRPr="009D5368">
        <w:rPr>
          <w:rFonts w:ascii="CourierPS" w:eastAsia="Times New Roman" w:hAnsi="CourierPS" w:cs="Times New Roman"/>
          <w:sz w:val="24"/>
          <w:szCs w:val="24"/>
          <w:lang w:eastAsia="fr-FR"/>
        </w:rPr>
        <w:fldChar w:fldCharType="begin"/>
      </w:r>
      <w:r w:rsidRPr="009D5368">
        <w:rPr>
          <w:rFonts w:ascii="CourierPS" w:eastAsia="Times New Roman" w:hAnsi="CourierPS" w:cs="Times New Roman"/>
          <w:sz w:val="24"/>
          <w:szCs w:val="24"/>
          <w:lang w:eastAsia="fr-FR"/>
        </w:rPr>
        <w:instrText xml:space="preserve"> HYPERLINK "https://manuelnumeriquemax.belin.education/physique_chimie-terminale/topics/pc-tle-c17-388-a" \l "pc-tle-c17-388-02" \t "_blank" </w:instrText>
      </w:r>
      <w:r w:rsidRPr="009D5368">
        <w:rPr>
          <w:rFonts w:ascii="CourierPS" w:eastAsia="Times New Roman" w:hAnsi="CourierPS" w:cs="Times New Roman"/>
          <w:sz w:val="24"/>
          <w:szCs w:val="24"/>
          <w:lang w:eastAsia="fr-FR"/>
        </w:rPr>
        <w:fldChar w:fldCharType="separate"/>
      </w:r>
    </w:p>
    <w:p w14:paraId="4FEB5128" w14:textId="77777777" w:rsidR="009D5368" w:rsidRPr="009D5368" w:rsidRDefault="009D5368" w:rsidP="0025623A">
      <w:pPr>
        <w:spacing w:after="0" w:line="240" w:lineRule="auto"/>
        <w:ind w:left="284"/>
        <w:jc w:val="both"/>
        <w:rPr>
          <w:rFonts w:ascii="CourierPS" w:eastAsia="Times New Roman" w:hAnsi="CourierPS" w:cs="Times New Roman"/>
          <w:sz w:val="24"/>
          <w:szCs w:val="24"/>
          <w:lang w:eastAsia="fr-FR"/>
        </w:rPr>
      </w:pPr>
      <w:r w:rsidRPr="009D5368">
        <w:rPr>
          <w:rFonts w:ascii="CourierPS" w:eastAsia="Times New Roman" w:hAnsi="CourierPS" w:cs="Times New Roman"/>
          <w:sz w:val="24"/>
          <w:szCs w:val="24"/>
          <w:lang w:eastAsia="fr-FR"/>
        </w:rPr>
        <w:fldChar w:fldCharType="end"/>
      </w:r>
    </w:p>
    <w:p w14:paraId="4B0D1847" w14:textId="2BED5DFE" w:rsidR="009D5368" w:rsidRPr="0004335F" w:rsidRDefault="004160BA" w:rsidP="0025623A">
      <w:pPr>
        <w:tabs>
          <w:tab w:val="left" w:pos="1920"/>
        </w:tabs>
        <w:ind w:left="284"/>
        <w:rPr>
          <w:rFonts w:ascii="CourierPS" w:hAnsi="CourierPS"/>
          <w:b/>
          <w:bCs/>
          <w:sz w:val="24"/>
          <w:szCs w:val="24"/>
          <w:u w:val="thick"/>
        </w:rPr>
      </w:pPr>
      <w:r w:rsidRPr="0004335F">
        <w:rPr>
          <w:rFonts w:ascii="CourierPS" w:hAnsi="CourierPS"/>
          <w:b/>
          <w:bCs/>
          <w:sz w:val="24"/>
          <w:szCs w:val="24"/>
          <w:highlight w:val="yellow"/>
          <w:u w:val="thick"/>
        </w:rPr>
        <w:lastRenderedPageBreak/>
        <w:t>Exploitation</w:t>
      </w:r>
    </w:p>
    <w:p w14:paraId="4C3B9896" w14:textId="67B2C2AB" w:rsidR="004160BA" w:rsidRPr="0004335F" w:rsidRDefault="004160BA" w:rsidP="0025623A">
      <w:pPr>
        <w:pStyle w:val="Paragraphedeliste"/>
        <w:numPr>
          <w:ilvl w:val="0"/>
          <w:numId w:val="1"/>
        </w:numPr>
        <w:tabs>
          <w:tab w:val="left" w:pos="284"/>
        </w:tabs>
        <w:ind w:left="284" w:right="660" w:firstLine="0"/>
        <w:rPr>
          <w:rFonts w:ascii="CourierPS" w:hAnsi="CourierPS"/>
          <w:sz w:val="24"/>
          <w:szCs w:val="24"/>
        </w:rPr>
      </w:pPr>
      <w:r w:rsidRPr="0004335F">
        <w:rPr>
          <w:rFonts w:ascii="CourierPS" w:hAnsi="CourierPS"/>
          <w:sz w:val="24"/>
          <w:szCs w:val="24"/>
        </w:rPr>
        <w:t>D’après l’expérience 1, classer les matériaux selon leur capacité à absorber le son.</w:t>
      </w:r>
    </w:p>
    <w:p w14:paraId="4FE2F622" w14:textId="763A1BFA" w:rsidR="004160BA" w:rsidRPr="0004335F" w:rsidRDefault="004160BA" w:rsidP="0025623A">
      <w:pPr>
        <w:pStyle w:val="Paragraphedeliste"/>
        <w:numPr>
          <w:ilvl w:val="0"/>
          <w:numId w:val="1"/>
        </w:numPr>
        <w:tabs>
          <w:tab w:val="left" w:pos="284"/>
        </w:tabs>
        <w:ind w:left="284" w:right="660" w:firstLine="0"/>
        <w:rPr>
          <w:rFonts w:ascii="CourierPS" w:hAnsi="CourierPS"/>
          <w:sz w:val="24"/>
          <w:szCs w:val="24"/>
        </w:rPr>
      </w:pPr>
      <w:r w:rsidRPr="0004335F">
        <w:rPr>
          <w:rFonts w:ascii="CourierPS" w:hAnsi="CourierPS"/>
          <w:sz w:val="24"/>
          <w:szCs w:val="24"/>
        </w:rPr>
        <w:t>Expliquer l’expression « </w:t>
      </w:r>
      <w:r w:rsidR="00A86939" w:rsidRPr="0004335F">
        <w:rPr>
          <w:rFonts w:ascii="CourierPS" w:hAnsi="CourierPS"/>
          <w:sz w:val="24"/>
          <w:szCs w:val="24"/>
        </w:rPr>
        <w:t>atténuation</w:t>
      </w:r>
      <w:r w:rsidRPr="0004335F">
        <w:rPr>
          <w:rFonts w:ascii="CourierPS" w:hAnsi="CourierPS"/>
          <w:sz w:val="24"/>
          <w:szCs w:val="24"/>
        </w:rPr>
        <w:t xml:space="preserve"> par absorption ».</w:t>
      </w:r>
    </w:p>
    <w:p w14:paraId="05575750" w14:textId="471AEB1E" w:rsidR="004160BA" w:rsidRPr="0004335F" w:rsidRDefault="004160BA" w:rsidP="0025623A">
      <w:pPr>
        <w:pStyle w:val="Paragraphedeliste"/>
        <w:numPr>
          <w:ilvl w:val="0"/>
          <w:numId w:val="1"/>
        </w:numPr>
        <w:tabs>
          <w:tab w:val="left" w:pos="284"/>
        </w:tabs>
        <w:ind w:left="284" w:right="660" w:firstLine="0"/>
        <w:rPr>
          <w:rFonts w:ascii="CourierPS" w:hAnsi="CourierPS"/>
          <w:sz w:val="24"/>
          <w:szCs w:val="24"/>
        </w:rPr>
      </w:pPr>
      <w:r w:rsidRPr="0004335F">
        <w:rPr>
          <w:rFonts w:ascii="CourierPS" w:hAnsi="CourierPS"/>
          <w:sz w:val="24"/>
          <w:szCs w:val="24"/>
        </w:rPr>
        <w:t>En utilisant les doc 2 et 3, exprimer L en fonction de P, R et I</w:t>
      </w:r>
      <w:r w:rsidRPr="0004335F">
        <w:rPr>
          <w:rFonts w:ascii="CourierPS" w:hAnsi="CourierPS"/>
          <w:sz w:val="24"/>
          <w:szCs w:val="24"/>
          <w:vertAlign w:val="subscript"/>
        </w:rPr>
        <w:t>o</w:t>
      </w:r>
      <w:r w:rsidRPr="0004335F">
        <w:rPr>
          <w:rFonts w:ascii="CourierPS" w:hAnsi="CourierPS"/>
          <w:sz w:val="24"/>
          <w:szCs w:val="24"/>
        </w:rPr>
        <w:t>.</w:t>
      </w:r>
    </w:p>
    <w:p w14:paraId="6D50F92E" w14:textId="027A9FFE" w:rsidR="0004335F" w:rsidRPr="0004335F" w:rsidRDefault="0004335F" w:rsidP="0025623A">
      <w:pPr>
        <w:pStyle w:val="Paragraphedeliste"/>
        <w:numPr>
          <w:ilvl w:val="0"/>
          <w:numId w:val="1"/>
        </w:numPr>
        <w:tabs>
          <w:tab w:val="left" w:pos="284"/>
        </w:tabs>
        <w:ind w:left="284" w:right="660" w:firstLine="0"/>
        <w:rPr>
          <w:rFonts w:ascii="CourierPS" w:hAnsi="CourierPS"/>
          <w:sz w:val="24"/>
          <w:szCs w:val="24"/>
        </w:rPr>
      </w:pPr>
      <w:r w:rsidRPr="0004335F">
        <w:rPr>
          <w:rFonts w:ascii="CourierPS" w:hAnsi="CourierPS"/>
          <w:sz w:val="24"/>
          <w:szCs w:val="24"/>
        </w:rPr>
        <w:t>D’après la question précédente, montrer que</w:t>
      </w:r>
      <w:r w:rsidR="004160BA" w:rsidRPr="0004335F">
        <w:rPr>
          <w:rFonts w:ascii="CourierPS" w:hAnsi="CourierPS"/>
          <w:sz w:val="24"/>
          <w:szCs w:val="24"/>
        </w:rPr>
        <w:t xml:space="preserve"> </w:t>
      </w:r>
      <w:r w:rsidR="009F3BB1" w:rsidRPr="0004335F">
        <w:rPr>
          <w:rFonts w:ascii="CourierPS" w:hAnsi="CourierPS"/>
          <w:sz w:val="24"/>
          <w:szCs w:val="24"/>
        </w:rPr>
        <w:t xml:space="preserve">l’expression du niveau sonore </w:t>
      </w:r>
      <w:r w:rsidRPr="0004335F">
        <w:rPr>
          <w:rFonts w:ascii="CourierPS" w:hAnsi="CourierPS"/>
          <w:sz w:val="24"/>
          <w:szCs w:val="24"/>
        </w:rPr>
        <w:t xml:space="preserve">s’exprime par la relation  </w:t>
      </w:r>
    </w:p>
    <w:p w14:paraId="6EBAC2AD" w14:textId="03CFCA8E" w:rsidR="004160BA" w:rsidRPr="0004335F" w:rsidRDefault="0004335F" w:rsidP="0025623A">
      <w:pPr>
        <w:pStyle w:val="Paragraphedeliste"/>
        <w:tabs>
          <w:tab w:val="left" w:pos="284"/>
        </w:tabs>
        <w:ind w:left="284" w:right="660"/>
        <w:rPr>
          <w:rFonts w:ascii="CourierPS" w:hAnsi="CourierPS"/>
          <w:sz w:val="24"/>
          <w:szCs w:val="24"/>
        </w:rPr>
      </w:pPr>
      <w:r w:rsidRPr="0004335F">
        <w:rPr>
          <w:rFonts w:ascii="CourierPS" w:hAnsi="CourierPS"/>
          <w:b/>
          <w:bCs/>
          <w:sz w:val="24"/>
          <w:szCs w:val="24"/>
        </w:rPr>
        <w:t>L = A - B log(R)</w:t>
      </w:r>
      <w:r w:rsidRPr="0004335F">
        <w:rPr>
          <w:rFonts w:ascii="CourierPS" w:hAnsi="CourierPS"/>
          <w:sz w:val="24"/>
          <w:szCs w:val="24"/>
        </w:rPr>
        <w:t xml:space="preserve"> avec A et B à déterminer.</w:t>
      </w:r>
      <w:r w:rsidRPr="0004335F">
        <w:rPr>
          <w:rFonts w:ascii="CourierPS" w:hAnsi="CourierPS"/>
          <w:noProof/>
          <w:sz w:val="16"/>
          <w:szCs w:val="16"/>
        </w:rPr>
        <w:t xml:space="preserve"> </w:t>
      </w:r>
      <w:r w:rsidRPr="0004335F">
        <w:rPr>
          <w:rFonts w:ascii="CourierPS" w:hAnsi="CourierPS"/>
          <w:noProof/>
          <w:sz w:val="16"/>
          <w:szCs w:val="16"/>
        </w:rPr>
        <w:drawing>
          <wp:inline distT="0" distB="0" distL="0" distR="0" wp14:anchorId="4FAD0560" wp14:editId="3BB4027A">
            <wp:extent cx="5507182" cy="410368"/>
            <wp:effectExtent l="0" t="0" r="0" b="889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2445" cy="427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03F6B" w14:textId="1C846C8E" w:rsidR="009F3BB1" w:rsidRDefault="0004335F" w:rsidP="0025623A">
      <w:pPr>
        <w:pStyle w:val="Paragraphedeliste"/>
        <w:numPr>
          <w:ilvl w:val="0"/>
          <w:numId w:val="1"/>
        </w:numPr>
        <w:tabs>
          <w:tab w:val="left" w:pos="284"/>
        </w:tabs>
        <w:ind w:left="284" w:right="660" w:firstLine="0"/>
        <w:rPr>
          <w:rFonts w:ascii="CourierPS" w:hAnsi="CourierPS"/>
          <w:sz w:val="24"/>
          <w:szCs w:val="24"/>
        </w:rPr>
      </w:pPr>
      <w:r w:rsidRPr="0004335F">
        <w:rPr>
          <w:rFonts w:ascii="CourierPS" w:hAnsi="CourierPS"/>
          <w:sz w:val="24"/>
          <w:szCs w:val="24"/>
        </w:rPr>
        <w:t xml:space="preserve">A l’aide d’un tableur, </w:t>
      </w:r>
      <w:r>
        <w:rPr>
          <w:rFonts w:ascii="CourierPS" w:hAnsi="CourierPS"/>
          <w:sz w:val="24"/>
          <w:szCs w:val="24"/>
        </w:rPr>
        <w:t>tracer</w:t>
      </w:r>
      <w:r w:rsidRPr="0004335F">
        <w:rPr>
          <w:rFonts w:ascii="CourierPS" w:hAnsi="CourierPS"/>
          <w:sz w:val="24"/>
          <w:szCs w:val="24"/>
        </w:rPr>
        <w:t xml:space="preserve"> L=f(log(R)) </w:t>
      </w:r>
      <w:r>
        <w:rPr>
          <w:rFonts w:ascii="CourierPS" w:hAnsi="CourierPS"/>
          <w:sz w:val="24"/>
          <w:szCs w:val="24"/>
        </w:rPr>
        <w:t>et modéliser la courbe obtenue. Noter son équation.</w:t>
      </w:r>
    </w:p>
    <w:p w14:paraId="224D20EB" w14:textId="22BD44F1" w:rsidR="0004335F" w:rsidRPr="0004335F" w:rsidRDefault="0004335F" w:rsidP="0025623A">
      <w:pPr>
        <w:pStyle w:val="Paragraphedeliste"/>
        <w:numPr>
          <w:ilvl w:val="0"/>
          <w:numId w:val="1"/>
        </w:numPr>
        <w:tabs>
          <w:tab w:val="left" w:pos="284"/>
        </w:tabs>
        <w:ind w:left="284" w:right="660" w:firstLine="0"/>
        <w:rPr>
          <w:rFonts w:ascii="CourierPS" w:hAnsi="CourierPS"/>
          <w:sz w:val="24"/>
          <w:szCs w:val="24"/>
        </w:rPr>
      </w:pPr>
      <w:r w:rsidRPr="0004335F">
        <w:rPr>
          <w:rFonts w:ascii="CourierPS" w:hAnsi="CourierPS" w:cs="Calibri"/>
        </w:rPr>
        <w:t>A l’aide des résultats de chaque groupe, compléter le tableau suivant :</w:t>
      </w: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1005"/>
        <w:gridCol w:w="906"/>
        <w:gridCol w:w="906"/>
        <w:gridCol w:w="906"/>
        <w:gridCol w:w="906"/>
        <w:gridCol w:w="906"/>
        <w:gridCol w:w="906"/>
        <w:gridCol w:w="906"/>
        <w:gridCol w:w="907"/>
        <w:gridCol w:w="907"/>
      </w:tblGrid>
      <w:tr w:rsidR="0004335F" w14:paraId="62AB7EC0" w14:textId="77777777" w:rsidTr="0004335F">
        <w:tc>
          <w:tcPr>
            <w:tcW w:w="906" w:type="dxa"/>
          </w:tcPr>
          <w:p w14:paraId="7F730816" w14:textId="3704A34D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  <w:r>
              <w:rPr>
                <w:rFonts w:ascii="CourierPS" w:hAnsi="CourierPS"/>
                <w:sz w:val="24"/>
                <w:szCs w:val="24"/>
              </w:rPr>
              <w:t>Groupe</w:t>
            </w:r>
          </w:p>
        </w:tc>
        <w:tc>
          <w:tcPr>
            <w:tcW w:w="906" w:type="dxa"/>
          </w:tcPr>
          <w:p w14:paraId="7B0A2D5F" w14:textId="0E68CCB7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  <w:r>
              <w:rPr>
                <w:rFonts w:ascii="CourierPS" w:hAnsi="CourierPS"/>
                <w:sz w:val="24"/>
                <w:szCs w:val="24"/>
              </w:rPr>
              <w:t>1</w:t>
            </w:r>
          </w:p>
        </w:tc>
        <w:tc>
          <w:tcPr>
            <w:tcW w:w="906" w:type="dxa"/>
          </w:tcPr>
          <w:p w14:paraId="507B9F9B" w14:textId="658236C9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  <w:r>
              <w:rPr>
                <w:rFonts w:ascii="CourierPS" w:hAnsi="CourierPS"/>
                <w:sz w:val="24"/>
                <w:szCs w:val="24"/>
              </w:rPr>
              <w:t>2</w:t>
            </w:r>
          </w:p>
        </w:tc>
        <w:tc>
          <w:tcPr>
            <w:tcW w:w="906" w:type="dxa"/>
          </w:tcPr>
          <w:p w14:paraId="31A6CE28" w14:textId="4F7CA099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  <w:r>
              <w:rPr>
                <w:rFonts w:ascii="CourierPS" w:hAnsi="CourierPS"/>
                <w:sz w:val="24"/>
                <w:szCs w:val="24"/>
              </w:rPr>
              <w:t>3</w:t>
            </w:r>
          </w:p>
        </w:tc>
        <w:tc>
          <w:tcPr>
            <w:tcW w:w="906" w:type="dxa"/>
          </w:tcPr>
          <w:p w14:paraId="673FADFE" w14:textId="7B29F6C7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  <w:r>
              <w:rPr>
                <w:rFonts w:ascii="CourierPS" w:hAnsi="CourierPS"/>
                <w:sz w:val="24"/>
                <w:szCs w:val="24"/>
              </w:rPr>
              <w:t>4</w:t>
            </w:r>
          </w:p>
        </w:tc>
        <w:tc>
          <w:tcPr>
            <w:tcW w:w="906" w:type="dxa"/>
          </w:tcPr>
          <w:p w14:paraId="1102E4D5" w14:textId="13ED3166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  <w:r>
              <w:rPr>
                <w:rFonts w:ascii="CourierPS" w:hAnsi="CourierPS"/>
                <w:sz w:val="24"/>
                <w:szCs w:val="24"/>
              </w:rPr>
              <w:t>5</w:t>
            </w:r>
          </w:p>
        </w:tc>
        <w:tc>
          <w:tcPr>
            <w:tcW w:w="906" w:type="dxa"/>
          </w:tcPr>
          <w:p w14:paraId="37118703" w14:textId="0D8CC856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  <w:r>
              <w:rPr>
                <w:rFonts w:ascii="CourierPS" w:hAnsi="CourierPS"/>
                <w:sz w:val="24"/>
                <w:szCs w:val="24"/>
              </w:rPr>
              <w:t>6</w:t>
            </w:r>
          </w:p>
        </w:tc>
        <w:tc>
          <w:tcPr>
            <w:tcW w:w="906" w:type="dxa"/>
          </w:tcPr>
          <w:p w14:paraId="36754A71" w14:textId="6CEE3A25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  <w:r>
              <w:rPr>
                <w:rFonts w:ascii="CourierPS" w:hAnsi="CourierPS"/>
                <w:sz w:val="24"/>
                <w:szCs w:val="24"/>
              </w:rPr>
              <w:t>7</w:t>
            </w:r>
          </w:p>
        </w:tc>
        <w:tc>
          <w:tcPr>
            <w:tcW w:w="907" w:type="dxa"/>
          </w:tcPr>
          <w:p w14:paraId="4CB5AE69" w14:textId="0A399268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  <w:r>
              <w:rPr>
                <w:rFonts w:ascii="CourierPS" w:hAnsi="CourierPS"/>
                <w:sz w:val="24"/>
                <w:szCs w:val="24"/>
              </w:rPr>
              <w:t>8</w:t>
            </w:r>
          </w:p>
        </w:tc>
        <w:tc>
          <w:tcPr>
            <w:tcW w:w="907" w:type="dxa"/>
          </w:tcPr>
          <w:p w14:paraId="70F0D86B" w14:textId="5DB26816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  <w:r>
              <w:rPr>
                <w:rFonts w:ascii="CourierPS" w:hAnsi="CourierPS"/>
                <w:sz w:val="24"/>
                <w:szCs w:val="24"/>
              </w:rPr>
              <w:t>9</w:t>
            </w:r>
          </w:p>
        </w:tc>
      </w:tr>
      <w:tr w:rsidR="0004335F" w14:paraId="67B71A33" w14:textId="77777777" w:rsidTr="0004335F">
        <w:tc>
          <w:tcPr>
            <w:tcW w:w="906" w:type="dxa"/>
          </w:tcPr>
          <w:p w14:paraId="682A6B95" w14:textId="785CA525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  <w:proofErr w:type="spellStart"/>
            <w:r>
              <w:rPr>
                <w:rFonts w:ascii="CourierPS" w:hAnsi="CourierPS"/>
                <w:sz w:val="24"/>
                <w:szCs w:val="24"/>
              </w:rPr>
              <w:t>B</w:t>
            </w:r>
            <w:r w:rsidRPr="0004335F">
              <w:rPr>
                <w:rFonts w:ascii="CourierPS" w:hAnsi="CourierPS"/>
                <w:sz w:val="24"/>
                <w:szCs w:val="24"/>
                <w:vertAlign w:val="subscript"/>
              </w:rPr>
              <w:t>modélisé</w:t>
            </w:r>
            <w:proofErr w:type="spellEnd"/>
          </w:p>
        </w:tc>
        <w:tc>
          <w:tcPr>
            <w:tcW w:w="906" w:type="dxa"/>
          </w:tcPr>
          <w:p w14:paraId="3E6E192F" w14:textId="77777777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</w:p>
        </w:tc>
        <w:tc>
          <w:tcPr>
            <w:tcW w:w="906" w:type="dxa"/>
          </w:tcPr>
          <w:p w14:paraId="20C8E2B0" w14:textId="77777777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</w:p>
        </w:tc>
        <w:tc>
          <w:tcPr>
            <w:tcW w:w="906" w:type="dxa"/>
          </w:tcPr>
          <w:p w14:paraId="55AD3FC5" w14:textId="77777777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</w:p>
        </w:tc>
        <w:tc>
          <w:tcPr>
            <w:tcW w:w="906" w:type="dxa"/>
          </w:tcPr>
          <w:p w14:paraId="72744D7E" w14:textId="77777777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</w:p>
        </w:tc>
        <w:tc>
          <w:tcPr>
            <w:tcW w:w="906" w:type="dxa"/>
          </w:tcPr>
          <w:p w14:paraId="72CDCE4F" w14:textId="77777777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</w:p>
        </w:tc>
        <w:tc>
          <w:tcPr>
            <w:tcW w:w="906" w:type="dxa"/>
          </w:tcPr>
          <w:p w14:paraId="5C70B07F" w14:textId="77777777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</w:p>
        </w:tc>
        <w:tc>
          <w:tcPr>
            <w:tcW w:w="906" w:type="dxa"/>
          </w:tcPr>
          <w:p w14:paraId="6A2FE574" w14:textId="77777777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</w:p>
        </w:tc>
        <w:tc>
          <w:tcPr>
            <w:tcW w:w="907" w:type="dxa"/>
          </w:tcPr>
          <w:p w14:paraId="4A8293DE" w14:textId="77777777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</w:p>
        </w:tc>
        <w:tc>
          <w:tcPr>
            <w:tcW w:w="907" w:type="dxa"/>
          </w:tcPr>
          <w:p w14:paraId="0E6F87BD" w14:textId="77777777" w:rsidR="0004335F" w:rsidRDefault="0004335F" w:rsidP="0025623A">
            <w:pPr>
              <w:pStyle w:val="Paragraphedeliste"/>
              <w:tabs>
                <w:tab w:val="left" w:pos="1920"/>
              </w:tabs>
              <w:ind w:left="284" w:hanging="360"/>
              <w:rPr>
                <w:rFonts w:ascii="CourierPS" w:hAnsi="CourierPS"/>
                <w:sz w:val="24"/>
                <w:szCs w:val="24"/>
              </w:rPr>
            </w:pPr>
          </w:p>
        </w:tc>
      </w:tr>
    </w:tbl>
    <w:p w14:paraId="520A8C85" w14:textId="77777777" w:rsidR="0004335F" w:rsidRPr="0004335F" w:rsidRDefault="0004335F" w:rsidP="0025623A">
      <w:pPr>
        <w:pStyle w:val="Paragraphedeliste"/>
        <w:tabs>
          <w:tab w:val="left" w:pos="1920"/>
        </w:tabs>
        <w:ind w:left="284" w:hanging="360"/>
        <w:rPr>
          <w:rFonts w:ascii="CourierPS" w:hAnsi="CourierPS"/>
          <w:sz w:val="24"/>
          <w:szCs w:val="24"/>
        </w:rPr>
      </w:pPr>
    </w:p>
    <w:p w14:paraId="260B5904" w14:textId="77777777" w:rsidR="00B677E6" w:rsidRDefault="0004335F" w:rsidP="0025623A">
      <w:pPr>
        <w:pStyle w:val="Corpsdetexte"/>
        <w:numPr>
          <w:ilvl w:val="0"/>
          <w:numId w:val="1"/>
        </w:numPr>
        <w:spacing w:before="227"/>
        <w:ind w:left="709"/>
        <w:rPr>
          <w:rFonts w:ascii="CourierPS" w:hAnsi="CourierPS"/>
          <w:sz w:val="22"/>
          <w:szCs w:val="22"/>
        </w:rPr>
      </w:pPr>
      <w:r w:rsidRPr="0004335F">
        <w:rPr>
          <w:rFonts w:ascii="CourierPS" w:hAnsi="CourierPS"/>
          <w:sz w:val="22"/>
          <w:szCs w:val="22"/>
        </w:rPr>
        <w:t xml:space="preserve">Suivez les instructions de votre calculatrice et relever la moyenne </w:t>
      </w:r>
    </w:p>
    <w:p w14:paraId="3F8A2F3C" w14:textId="43C7DD1B" w:rsidR="0004335F" w:rsidRDefault="00B677E6" w:rsidP="0025623A">
      <w:pPr>
        <w:pStyle w:val="Corpsdetexte"/>
        <w:spacing w:before="227"/>
        <w:ind w:left="709"/>
        <w:rPr>
          <w:rFonts w:ascii="CourierPS" w:hAnsi="CourierPS"/>
          <w:sz w:val="22"/>
          <w:szCs w:val="22"/>
        </w:rPr>
      </w:pPr>
      <w:r w:rsidRPr="007E172C">
        <w:rPr>
          <w:position w:val="-4"/>
        </w:rPr>
        <w:object w:dxaOrig="240" w:dyaOrig="320" w14:anchorId="01076B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6.2pt" o:ole="">
            <v:imagedata r:id="rId8" o:title=""/>
          </v:shape>
          <o:OLEObject Type="Embed" ProgID="Equation.DSMT4" ShapeID="_x0000_i1025" DrawAspect="Content" ObjectID="_1671942662" r:id="rId9"/>
        </w:object>
      </w:r>
      <w:r>
        <w:t xml:space="preserve"> =…………. </w:t>
      </w:r>
      <w:r w:rsidR="0004335F" w:rsidRPr="0004335F">
        <w:rPr>
          <w:rFonts w:ascii="CourierPS" w:hAnsi="CourierPS"/>
          <w:sz w:val="22"/>
          <w:szCs w:val="22"/>
        </w:rPr>
        <w:t xml:space="preserve">et l’écart type </w:t>
      </w:r>
      <w:proofErr w:type="spellStart"/>
      <w:r w:rsidR="0004335F" w:rsidRPr="0004335F">
        <w:rPr>
          <w:rFonts w:ascii="Courier New" w:hAnsi="Courier New" w:cs="Courier New"/>
          <w:sz w:val="22"/>
          <w:szCs w:val="22"/>
        </w:rPr>
        <w:t>σ</w:t>
      </w:r>
      <w:r w:rsidR="0004335F" w:rsidRPr="00B677E6">
        <w:rPr>
          <w:rFonts w:ascii="CourierPS" w:hAnsi="CourierPS"/>
          <w:sz w:val="22"/>
          <w:szCs w:val="22"/>
          <w:vertAlign w:val="subscript"/>
        </w:rPr>
        <w:t>x</w:t>
      </w:r>
      <w:proofErr w:type="spellEnd"/>
      <w:r w:rsidR="0004335F">
        <w:rPr>
          <w:rFonts w:ascii="CourierPS" w:hAnsi="CourierPS"/>
          <w:sz w:val="22"/>
          <w:szCs w:val="22"/>
        </w:rPr>
        <w:t xml:space="preserve"> =</w:t>
      </w:r>
      <w:r>
        <w:rPr>
          <w:rFonts w:ascii="CourierPS" w:hAnsi="CourierPS"/>
          <w:sz w:val="22"/>
          <w:szCs w:val="22"/>
        </w:rPr>
        <w:t>………………………..</w:t>
      </w:r>
    </w:p>
    <w:p w14:paraId="177D919D" w14:textId="4DC95336" w:rsidR="0004335F" w:rsidRPr="0004335F" w:rsidRDefault="0004335F" w:rsidP="0025623A">
      <w:pPr>
        <w:pStyle w:val="Corpsdetexte"/>
        <w:spacing w:before="227"/>
        <w:ind w:left="709" w:hanging="360"/>
        <w:rPr>
          <w:rFonts w:ascii="CourierPS" w:hAnsi="CourierPS"/>
          <w:sz w:val="22"/>
          <w:szCs w:val="22"/>
        </w:rPr>
      </w:pPr>
      <w:r w:rsidRPr="0004335F">
        <w:rPr>
          <w:rFonts w:ascii="CourierPS" w:hAnsi="CourierPS"/>
          <w:sz w:val="22"/>
          <w:szCs w:val="22"/>
        </w:rPr>
        <w:t>L’incertitude type se calcule suivant la relation suivante :</w:t>
      </w:r>
    </w:p>
    <w:p w14:paraId="4747FD17" w14:textId="2E53C820" w:rsidR="0004335F" w:rsidRPr="0004335F" w:rsidRDefault="00B677E6" w:rsidP="0025623A">
      <w:pPr>
        <w:pStyle w:val="Corpsdetexte"/>
        <w:spacing w:before="182" w:line="398" w:lineRule="auto"/>
        <w:ind w:left="709" w:right="830" w:hanging="360"/>
        <w:jc w:val="center"/>
        <w:rPr>
          <w:rFonts w:ascii="CourierPS" w:hAnsi="CourierPS"/>
          <w:sz w:val="22"/>
          <w:szCs w:val="22"/>
        </w:rPr>
      </w:pPr>
      <w:r w:rsidRPr="00B677E6">
        <w:rPr>
          <w:position w:val="-28"/>
          <w:highlight w:val="yellow"/>
        </w:rPr>
        <w:object w:dxaOrig="1719" w:dyaOrig="660" w14:anchorId="54968AB3">
          <v:shape id="_x0000_i1026" type="#_x0000_t75" style="width:85.8pt;height:33pt" o:ole="">
            <v:imagedata r:id="rId10" o:title=""/>
          </v:shape>
          <o:OLEObject Type="Embed" ProgID="Equation.DSMT4" ShapeID="_x0000_i1026" DrawAspect="Content" ObjectID="_1671942663" r:id="rId11"/>
        </w:object>
      </w:r>
    </w:p>
    <w:p w14:paraId="2FC53904" w14:textId="77777777" w:rsidR="0004335F" w:rsidRPr="0004335F" w:rsidRDefault="0004335F" w:rsidP="0025623A">
      <w:pPr>
        <w:pStyle w:val="Corpsdetexte"/>
        <w:spacing w:before="139" w:line="398" w:lineRule="auto"/>
        <w:ind w:left="709" w:right="93"/>
        <w:rPr>
          <w:rFonts w:ascii="CourierPS" w:hAnsi="CourierPS"/>
          <w:sz w:val="22"/>
          <w:szCs w:val="22"/>
        </w:rPr>
      </w:pPr>
      <w:r w:rsidRPr="0004335F">
        <w:rPr>
          <w:rFonts w:ascii="CourierPS" w:hAnsi="CourierPS"/>
          <w:sz w:val="22"/>
          <w:szCs w:val="22"/>
        </w:rPr>
        <w:t xml:space="preserve">Avec </w:t>
      </w:r>
      <w:r w:rsidRPr="0004335F">
        <w:rPr>
          <w:rFonts w:ascii="Courier New" w:hAnsi="Courier New" w:cs="Courier New"/>
          <w:sz w:val="22"/>
          <w:szCs w:val="22"/>
        </w:rPr>
        <w:t>σ</w:t>
      </w:r>
      <w:r w:rsidRPr="0004335F">
        <w:rPr>
          <w:rFonts w:ascii="CourierPS" w:hAnsi="CourierPS"/>
          <w:sz w:val="22"/>
          <w:szCs w:val="22"/>
        </w:rPr>
        <w:t xml:space="preserve"> : </w:t>
      </w:r>
      <w:r w:rsidRPr="0004335F">
        <w:rPr>
          <w:rFonts w:ascii="CourierPS" w:hAnsi="CourierPS" w:cs="CourierPS"/>
          <w:sz w:val="22"/>
          <w:szCs w:val="22"/>
        </w:rPr>
        <w:t>é</w:t>
      </w:r>
      <w:r w:rsidRPr="0004335F">
        <w:rPr>
          <w:rFonts w:ascii="CourierPS" w:hAnsi="CourierPS"/>
          <w:sz w:val="22"/>
          <w:szCs w:val="22"/>
        </w:rPr>
        <w:t>cart-type et N : nombre de mesures Calcul de l</w:t>
      </w:r>
      <w:r w:rsidRPr="0004335F">
        <w:rPr>
          <w:rFonts w:ascii="CourierPS" w:hAnsi="CourierPS" w:cs="CourierPS"/>
          <w:sz w:val="22"/>
          <w:szCs w:val="22"/>
        </w:rPr>
        <w:t>’</w:t>
      </w:r>
      <w:r w:rsidRPr="0004335F">
        <w:rPr>
          <w:rFonts w:ascii="CourierPS" w:hAnsi="CourierPS"/>
          <w:sz w:val="22"/>
          <w:szCs w:val="22"/>
        </w:rPr>
        <w:t>incertitude type :</w:t>
      </w:r>
    </w:p>
    <w:p w14:paraId="1246538F" w14:textId="13BD2F41" w:rsidR="0004335F" w:rsidRPr="0004335F" w:rsidRDefault="00B677E6" w:rsidP="0025623A">
      <w:pPr>
        <w:pStyle w:val="Corpsdetexte"/>
        <w:ind w:left="709" w:firstLine="708"/>
        <w:rPr>
          <w:rFonts w:ascii="CourierPS" w:hAnsi="CourierPS"/>
          <w:sz w:val="22"/>
          <w:szCs w:val="22"/>
        </w:rPr>
      </w:pPr>
      <w:r>
        <w:rPr>
          <w:rFonts w:ascii="CourierPS" w:hAnsi="CourierPS"/>
          <w:sz w:val="22"/>
          <w:szCs w:val="22"/>
        </w:rPr>
        <w:t xml:space="preserve">Calculer l’incertitude type sur </w:t>
      </w:r>
      <w:proofErr w:type="spellStart"/>
      <w:r>
        <w:rPr>
          <w:rFonts w:ascii="CourierPS" w:hAnsi="CourierPS"/>
          <w:sz w:val="22"/>
          <w:szCs w:val="22"/>
        </w:rPr>
        <w:t>B</w:t>
      </w:r>
      <w:r w:rsidRPr="00B677E6">
        <w:rPr>
          <w:rFonts w:ascii="CourierPS" w:hAnsi="CourierPS"/>
          <w:sz w:val="22"/>
          <w:szCs w:val="22"/>
          <w:vertAlign w:val="subscript"/>
        </w:rPr>
        <w:t>modélisé</w:t>
      </w:r>
      <w:proofErr w:type="spellEnd"/>
    </w:p>
    <w:p w14:paraId="2F004FEB" w14:textId="77777777" w:rsidR="0004335F" w:rsidRPr="0004335F" w:rsidRDefault="0004335F" w:rsidP="0025623A">
      <w:pPr>
        <w:pStyle w:val="Corpsdetexte"/>
        <w:ind w:left="709"/>
        <w:rPr>
          <w:rFonts w:ascii="CourierPS" w:hAnsi="CourierPS"/>
          <w:sz w:val="22"/>
          <w:szCs w:val="22"/>
        </w:rPr>
      </w:pPr>
    </w:p>
    <w:p w14:paraId="3A06C256" w14:textId="77777777" w:rsidR="0004335F" w:rsidRPr="0004335F" w:rsidRDefault="0004335F" w:rsidP="0025623A">
      <w:pPr>
        <w:pStyle w:val="Corpsdetexte"/>
        <w:ind w:left="709"/>
        <w:rPr>
          <w:rFonts w:ascii="CourierPS" w:hAnsi="CourierPS"/>
          <w:sz w:val="22"/>
          <w:szCs w:val="22"/>
        </w:rPr>
      </w:pPr>
    </w:p>
    <w:p w14:paraId="2FA76B96" w14:textId="77777777" w:rsidR="0004335F" w:rsidRPr="0004335F" w:rsidRDefault="0004335F" w:rsidP="0025623A">
      <w:pPr>
        <w:pStyle w:val="Corpsdetexte"/>
        <w:ind w:left="709"/>
        <w:rPr>
          <w:rFonts w:ascii="CourierPS" w:hAnsi="CourierPS"/>
          <w:sz w:val="22"/>
          <w:szCs w:val="22"/>
        </w:rPr>
      </w:pPr>
    </w:p>
    <w:p w14:paraId="44D7308F" w14:textId="64B246B0" w:rsidR="0004335F" w:rsidRPr="00B677E6" w:rsidRDefault="00B677E6" w:rsidP="0025623A">
      <w:pPr>
        <w:pStyle w:val="Corpsdetexte"/>
        <w:spacing w:before="9"/>
        <w:ind w:left="709" w:firstLine="708"/>
        <w:rPr>
          <w:rFonts w:ascii="CourierPS" w:hAnsi="CourierPS"/>
          <w:b/>
          <w:bCs/>
          <w:sz w:val="22"/>
          <w:szCs w:val="22"/>
          <w:u w:val="thick"/>
        </w:rPr>
      </w:pPr>
      <w:r w:rsidRPr="00B677E6">
        <w:rPr>
          <w:rFonts w:ascii="CourierPS" w:hAnsi="CourierPS"/>
          <w:b/>
          <w:bCs/>
          <w:sz w:val="22"/>
          <w:szCs w:val="22"/>
          <w:u w:val="thick"/>
        </w:rPr>
        <w:t>Z-score</w:t>
      </w:r>
    </w:p>
    <w:p w14:paraId="0E6EBA57" w14:textId="2BBDA76E" w:rsidR="0004335F" w:rsidRPr="0004335F" w:rsidRDefault="0004335F" w:rsidP="0025623A">
      <w:pPr>
        <w:pStyle w:val="Corpsdetexte"/>
        <w:spacing w:line="259" w:lineRule="auto"/>
        <w:ind w:left="709" w:right="93"/>
        <w:rPr>
          <w:rFonts w:ascii="CourierPS" w:hAnsi="CourierPS"/>
          <w:sz w:val="22"/>
          <w:szCs w:val="22"/>
        </w:rPr>
      </w:pPr>
      <w:r w:rsidRPr="0004335F">
        <w:rPr>
          <w:rFonts w:ascii="CourierPS" w:hAnsi="CourierPS"/>
          <w:sz w:val="22"/>
          <w:szCs w:val="22"/>
        </w:rPr>
        <w:t xml:space="preserve">On peut alors comparer la mesure effectuée à une valeur de référence en faisant le calcul suivant </w:t>
      </w:r>
      <w:r w:rsidR="00B677E6">
        <w:rPr>
          <w:rFonts w:ascii="CourierPS" w:hAnsi="CourierPS"/>
          <w:sz w:val="22"/>
          <w:szCs w:val="22"/>
        </w:rPr>
        <w:t>(cette grandeur est appelée z-score)</w:t>
      </w:r>
      <w:r w:rsidRPr="0004335F">
        <w:rPr>
          <w:rFonts w:ascii="CourierPS" w:hAnsi="CourierPS"/>
          <w:sz w:val="22"/>
          <w:szCs w:val="22"/>
        </w:rPr>
        <w:t>:</w:t>
      </w:r>
    </w:p>
    <w:p w14:paraId="48EF4DA8" w14:textId="77777777" w:rsidR="0004335F" w:rsidRPr="0004335F" w:rsidRDefault="0004335F" w:rsidP="0025623A">
      <w:pPr>
        <w:pStyle w:val="Corpsdetexte"/>
        <w:spacing w:line="259" w:lineRule="auto"/>
        <w:ind w:left="709" w:right="544"/>
        <w:rPr>
          <w:rFonts w:ascii="CourierPS" w:hAnsi="CourierPS"/>
          <w:sz w:val="22"/>
          <w:szCs w:val="22"/>
        </w:rPr>
      </w:pPr>
    </w:p>
    <w:p w14:paraId="1F830CC3" w14:textId="795F67FC" w:rsidR="0004335F" w:rsidRPr="0004335F" w:rsidRDefault="00B677E6" w:rsidP="0025623A">
      <w:pPr>
        <w:pStyle w:val="Corpsdetexte"/>
        <w:spacing w:line="259" w:lineRule="auto"/>
        <w:ind w:left="709" w:right="-49"/>
        <w:jc w:val="center"/>
        <w:rPr>
          <w:rFonts w:ascii="CourierPS" w:hAnsi="CourierPS"/>
          <w:sz w:val="22"/>
          <w:szCs w:val="22"/>
        </w:rPr>
      </w:pPr>
      <w:r w:rsidRPr="00B677E6">
        <w:rPr>
          <w:rFonts w:ascii="CourierPS" w:hAnsi="CourierPS"/>
          <w:position w:val="-28"/>
          <w:highlight w:val="yellow"/>
        </w:rPr>
        <w:object w:dxaOrig="1260" w:dyaOrig="800" w14:anchorId="2C9E5877">
          <v:shape id="_x0000_i1027" type="#_x0000_t75" style="width:63pt;height:40.2pt" o:ole="">
            <v:imagedata r:id="rId12" o:title=""/>
          </v:shape>
          <o:OLEObject Type="Embed" ProgID="Equation.DSMT4" ShapeID="_x0000_i1027" DrawAspect="Content" ObjectID="_1671942664" r:id="rId13"/>
        </w:object>
      </w:r>
    </w:p>
    <w:p w14:paraId="018D4972" w14:textId="77777777" w:rsidR="0004335F" w:rsidRPr="0004335F" w:rsidRDefault="0004335F" w:rsidP="0025623A">
      <w:pPr>
        <w:pStyle w:val="Corpsdetexte"/>
        <w:spacing w:before="4"/>
        <w:ind w:left="284"/>
        <w:rPr>
          <w:rFonts w:ascii="CourierPS" w:hAnsi="CourierPS"/>
          <w:sz w:val="22"/>
          <w:szCs w:val="22"/>
        </w:rPr>
      </w:pPr>
    </w:p>
    <w:p w14:paraId="375C73CC" w14:textId="77777777" w:rsidR="0025623A" w:rsidRPr="0004335F" w:rsidRDefault="0025623A" w:rsidP="0025623A">
      <w:pPr>
        <w:pStyle w:val="Corpsdetexte"/>
        <w:spacing w:before="92"/>
        <w:ind w:left="284" w:right="377"/>
        <w:rPr>
          <w:rFonts w:ascii="CourierPS" w:hAnsi="CourierPS"/>
          <w:sz w:val="22"/>
          <w:szCs w:val="22"/>
        </w:rPr>
      </w:pPr>
      <w:r w:rsidRPr="0004335F">
        <w:rPr>
          <w:rFonts w:ascii="CourierPS" w:hAnsi="CourierPS"/>
          <w:sz w:val="22"/>
          <w:szCs w:val="22"/>
        </w:rPr>
        <w:t>Si le résultat obtenu est ≤2 alors on considère que le résultat de la mesure est compatible avec la valeur de référence.</w:t>
      </w:r>
    </w:p>
    <w:p w14:paraId="24473B29" w14:textId="77777777" w:rsidR="0004335F" w:rsidRPr="0004335F" w:rsidRDefault="0004335F" w:rsidP="0025623A">
      <w:pPr>
        <w:ind w:left="284"/>
        <w:rPr>
          <w:rFonts w:ascii="CourierPS" w:hAnsi="CourierPS"/>
        </w:rPr>
        <w:sectPr w:rsidR="0004335F" w:rsidRPr="0004335F" w:rsidSect="0025623A">
          <w:type w:val="nextColumn"/>
          <w:pgSz w:w="11910" w:h="16840"/>
          <w:pgMar w:top="960" w:right="260" w:bottom="244" w:left="500" w:header="751" w:footer="0" w:gutter="0"/>
          <w:cols w:space="720"/>
        </w:sectPr>
      </w:pPr>
    </w:p>
    <w:p w14:paraId="042E4C12" w14:textId="655BCE89" w:rsidR="007B21DC" w:rsidRDefault="0025623A" w:rsidP="0025623A">
      <w:pPr>
        <w:ind w:left="284" w:right="-6225"/>
        <w:rPr>
          <w:rFonts w:ascii="CourierPS" w:eastAsia="Cambria Math" w:hAnsi="CourierPS"/>
        </w:rPr>
      </w:pPr>
      <w:r>
        <w:rPr>
          <w:rFonts w:ascii="CourierPS" w:eastAsia="Cambria Math" w:hAnsi="CourierPS"/>
        </w:rPr>
        <w:lastRenderedPageBreak/>
        <w:t>8)Expliquer le terme « atténuation géométrique du son ».</w:t>
      </w:r>
    </w:p>
    <w:p w14:paraId="65B788AC" w14:textId="16B5EB83" w:rsidR="0025623A" w:rsidRDefault="0025623A" w:rsidP="0025623A">
      <w:pPr>
        <w:ind w:left="284" w:right="-6225"/>
        <w:rPr>
          <w:rFonts w:ascii="CourierPS" w:eastAsia="Cambria Math" w:hAnsi="CourierPS"/>
        </w:rPr>
      </w:pPr>
    </w:p>
    <w:p w14:paraId="5C18B0B1" w14:textId="3A3F67AB" w:rsidR="0025623A" w:rsidRDefault="0025623A" w:rsidP="0025623A">
      <w:pPr>
        <w:ind w:left="284" w:right="-6225"/>
        <w:rPr>
          <w:rFonts w:ascii="CourierPS" w:eastAsia="Cambria Math" w:hAnsi="CourierPS"/>
        </w:rPr>
      </w:pPr>
    </w:p>
    <w:p w14:paraId="2D78DE25" w14:textId="10EEEED0" w:rsidR="0025623A" w:rsidRDefault="0025623A" w:rsidP="0025623A">
      <w:pPr>
        <w:ind w:left="284" w:right="-6225"/>
        <w:rPr>
          <w:rFonts w:ascii="CourierPS" w:eastAsia="Cambria Math" w:hAnsi="CourierPS"/>
        </w:rPr>
      </w:pPr>
    </w:p>
    <w:p w14:paraId="394C4BF9" w14:textId="3F0B61F4" w:rsidR="0025623A" w:rsidRDefault="0025623A" w:rsidP="0025623A">
      <w:pPr>
        <w:ind w:left="284" w:right="-6225"/>
        <w:rPr>
          <w:rFonts w:ascii="CourierPS" w:eastAsia="Cambria Math" w:hAnsi="CourierPS"/>
        </w:rPr>
      </w:pPr>
    </w:p>
    <w:p w14:paraId="32B9A6F5" w14:textId="77777777" w:rsidR="0025623A" w:rsidRDefault="0025623A" w:rsidP="0025623A">
      <w:pPr>
        <w:ind w:left="284" w:right="-6225"/>
        <w:rPr>
          <w:rFonts w:ascii="CourierPS" w:eastAsia="Cambria Math" w:hAnsi="CourierPS"/>
        </w:rPr>
      </w:pPr>
    </w:p>
    <w:p w14:paraId="5BB555D5" w14:textId="5C706A7D" w:rsidR="0025623A" w:rsidRPr="0025623A" w:rsidRDefault="0025623A" w:rsidP="0025623A">
      <w:pPr>
        <w:pStyle w:val="Paragraphedeliste"/>
        <w:ind w:left="284" w:right="-6225"/>
        <w:rPr>
          <w:rFonts w:ascii="CourierPS" w:eastAsia="Cambria Math" w:hAnsi="CourierPS"/>
        </w:rPr>
        <w:sectPr w:rsidR="0025623A" w:rsidRPr="0025623A" w:rsidSect="0025623A">
          <w:type w:val="nextColumn"/>
          <w:pgSz w:w="11910" w:h="16840"/>
          <w:pgMar w:top="960" w:right="260" w:bottom="244" w:left="500" w:header="720" w:footer="720" w:gutter="0"/>
          <w:cols w:num="2" w:space="720" w:equalWidth="0">
            <w:col w:w="4123" w:space="40"/>
            <w:col w:w="6987"/>
          </w:cols>
        </w:sectPr>
      </w:pPr>
      <w:r>
        <w:rPr>
          <w:rFonts w:ascii="CourierPS" w:eastAsia="Cambria Math" w:hAnsi="CourierPS"/>
        </w:rPr>
        <w:t>9)Donner deux moyens de préserver son audition lors d’un concer</w:t>
      </w:r>
      <w:r w:rsidR="00214DC4">
        <w:rPr>
          <w:rFonts w:ascii="CourierPS" w:eastAsia="Cambria Math" w:hAnsi="CourierPS"/>
        </w:rPr>
        <w:t>t</w:t>
      </w:r>
    </w:p>
    <w:p w14:paraId="2C488EEF" w14:textId="214B3C24" w:rsidR="0004335F" w:rsidRDefault="0004335F" w:rsidP="00256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65868A56" w14:textId="77777777" w:rsidR="0004335F" w:rsidRPr="0004335F" w:rsidRDefault="0004335F" w:rsidP="0025623A">
      <w:pPr>
        <w:tabs>
          <w:tab w:val="left" w:pos="1920"/>
        </w:tabs>
        <w:ind w:left="284"/>
        <w:rPr>
          <w:rFonts w:ascii="CourierPS" w:hAnsi="CourierPS"/>
          <w:sz w:val="24"/>
          <w:szCs w:val="24"/>
        </w:rPr>
      </w:pPr>
    </w:p>
    <w:sectPr w:rsidR="0004335F" w:rsidRPr="0004335F" w:rsidSect="0025623A">
      <w:type w:val="nextColumn"/>
      <w:pgSz w:w="11906" w:h="16838"/>
      <w:pgMar w:top="709" w:right="1417" w:bottom="24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PS">
    <w:panose1 w:val="02070609020205020404"/>
    <w:charset w:val="00"/>
    <w:family w:val="modern"/>
    <w:pitch w:val="fixed"/>
    <w:sig w:usb0="00000007" w:usb1="00000000" w:usb2="00000000" w:usb3="00000000" w:csb0="0000009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5866397"/>
    <w:multiLevelType w:val="hybridMultilevel"/>
    <w:tmpl w:val="D2C2D56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4D4D09"/>
    <w:multiLevelType w:val="hybridMultilevel"/>
    <w:tmpl w:val="D2C2D56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368"/>
    <w:rsid w:val="0004335F"/>
    <w:rsid w:val="00214DC4"/>
    <w:rsid w:val="0025623A"/>
    <w:rsid w:val="003156B6"/>
    <w:rsid w:val="004160BA"/>
    <w:rsid w:val="007B21DC"/>
    <w:rsid w:val="007F6D13"/>
    <w:rsid w:val="009D5368"/>
    <w:rsid w:val="009F3BB1"/>
    <w:rsid w:val="00A86939"/>
    <w:rsid w:val="00B677E6"/>
    <w:rsid w:val="00C450BA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EFBC8"/>
  <w15:chartTrackingRefBased/>
  <w15:docId w15:val="{3F5B74F6-C83C-4CE1-9A3A-2544D515E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9D53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D5368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sectiontitle">
    <w:name w:val="sectiontitle"/>
    <w:basedOn w:val="Policepardfaut"/>
    <w:rsid w:val="009D5368"/>
  </w:style>
  <w:style w:type="character" w:styleId="Lienhypertexte">
    <w:name w:val="Hyperlink"/>
    <w:basedOn w:val="Policepardfaut"/>
    <w:uiPriority w:val="99"/>
    <w:semiHidden/>
    <w:unhideWhenUsed/>
    <w:rsid w:val="009D5368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160BA"/>
    <w:pPr>
      <w:ind w:left="720"/>
      <w:contextualSpacing/>
    </w:pPr>
  </w:style>
  <w:style w:type="table" w:styleId="Grilledutableau">
    <w:name w:val="Table Grid"/>
    <w:basedOn w:val="TableauNormal"/>
    <w:uiPriority w:val="39"/>
    <w:rsid w:val="00043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sdetexte">
    <w:name w:val="Body Text"/>
    <w:basedOn w:val="Normal"/>
    <w:link w:val="CorpsdetexteCar"/>
    <w:uiPriority w:val="1"/>
    <w:qFormat/>
    <w:rsid w:val="0004335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1"/>
    <w:rsid w:val="0004335F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03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0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98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0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594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296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9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93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76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14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80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0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76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4</Pages>
  <Words>413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dcterms:created xsi:type="dcterms:W3CDTF">2020-12-29T12:36:00Z</dcterms:created>
  <dcterms:modified xsi:type="dcterms:W3CDTF">2021-01-12T06:45:00Z</dcterms:modified>
</cp:coreProperties>
</file>